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56C" w:rsidRDefault="00F8156C" w:rsidP="00F8156C">
      <w:pPr>
        <w:jc w:val="center"/>
        <w:rPr>
          <w:b/>
          <w:sz w:val="28"/>
          <w:szCs w:val="28"/>
        </w:rPr>
      </w:pPr>
      <w:r w:rsidRPr="00920207">
        <w:rPr>
          <w:b/>
          <w:sz w:val="28"/>
          <w:szCs w:val="28"/>
        </w:rPr>
        <w:t>Системы высот</w:t>
      </w:r>
    </w:p>
    <w:p w:rsidR="00F8156C" w:rsidRDefault="00F8156C" w:rsidP="00F8156C">
      <w:pPr>
        <w:jc w:val="center"/>
        <w:rPr>
          <w:b/>
          <w:sz w:val="28"/>
          <w:szCs w:val="28"/>
        </w:rPr>
      </w:pPr>
    </w:p>
    <w:p w:rsidR="00F8156C" w:rsidRDefault="00F8156C" w:rsidP="00F8156C">
      <w:pPr>
        <w:ind w:firstLine="708"/>
        <w:jc w:val="both"/>
        <w:rPr>
          <w:sz w:val="28"/>
          <w:szCs w:val="28"/>
        </w:rPr>
      </w:pPr>
      <w:r w:rsidRPr="00920207">
        <w:rPr>
          <w:sz w:val="28"/>
          <w:szCs w:val="28"/>
        </w:rPr>
        <w:t>2.6.1</w:t>
      </w:r>
      <w:r>
        <w:rPr>
          <w:sz w:val="28"/>
          <w:szCs w:val="28"/>
        </w:rPr>
        <w:t xml:space="preserve"> Определение систем высот.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передачи высот от начала нивелирной сети – точки А на поверхности геоида (рисунок 2.6) к точке В, методом геометрического нивелирования суммируют все превышения, измеренные на всех станциях: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6325DC">
        <w:rPr>
          <w:position w:val="-28"/>
          <w:sz w:val="28"/>
          <w:szCs w:val="28"/>
        </w:rPr>
        <w:object w:dxaOrig="2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3pt;height:33.5pt" o:ole="">
            <v:imagedata r:id="rId4" o:title=""/>
          </v:shape>
          <o:OLEObject Type="Embed" ProgID="Equation.3" ShapeID="_x0000_i1025" DrawAspect="Content" ObjectID="_1693029718" r:id="rId5"/>
        </w:object>
      </w:r>
      <w:r>
        <w:rPr>
          <w:sz w:val="28"/>
          <w:szCs w:val="28"/>
        </w:rPr>
        <w:t>.                                                 (27)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Получаемая подобным образом высота зависит от пути нивелирования. Это вызвано непараллельностью уровенных поверхностей, обусловленной наличием аномальных масс.</w:t>
      </w:r>
    </w:p>
    <w:p w:rsidR="00F8156C" w:rsidRPr="003B3476" w:rsidRDefault="00F8156C" w:rsidP="00F8156C">
      <w:pPr>
        <w:jc w:val="center"/>
        <w:rPr>
          <w:sz w:val="28"/>
          <w:szCs w:val="28"/>
        </w:rPr>
      </w:pPr>
      <w:r w:rsidRPr="003B3476">
        <w:rPr>
          <w:noProof/>
          <w:sz w:val="28"/>
          <w:szCs w:val="28"/>
        </w:rPr>
        <w:drawing>
          <wp:inline distT="0" distB="0" distL="0" distR="0" wp14:anchorId="751B7581" wp14:editId="3977C01D">
            <wp:extent cx="3838575" cy="2266950"/>
            <wp:effectExtent l="0" t="0" r="9525" b="0"/>
            <wp:docPr id="2" name="Рисунок 2" descr="сканирование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сканирование000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Pr="00BA792E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2.6 – Поверхности относимости в системах высот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Проведем в точках А и М </w:t>
      </w:r>
      <w:proofErr w:type="gramStart"/>
      <w:r>
        <w:rPr>
          <w:sz w:val="28"/>
          <w:szCs w:val="28"/>
        </w:rPr>
        <w:t>уровенные  (</w:t>
      </w:r>
      <w:proofErr w:type="gramEnd"/>
      <w:r>
        <w:rPr>
          <w:sz w:val="28"/>
          <w:szCs w:val="28"/>
        </w:rPr>
        <w:t xml:space="preserve">эквипотенциальные) поверхности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  <w:lang w:val="en-US"/>
        </w:rPr>
        <w:t>A</w:t>
      </w:r>
      <w:r w:rsidRPr="009920CB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const</w:t>
      </w:r>
      <w:r w:rsidRPr="009920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  <w:vertAlign w:val="subscript"/>
          <w:lang w:val="en-US"/>
        </w:rPr>
        <w:t>M</w:t>
      </w:r>
      <w:r w:rsidRPr="009920CB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const</w:t>
      </w:r>
      <w:r w:rsidRPr="009920C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Уровенная поверхность, проходящая через точку А и совпадающая с уровнем моря, является геоидом. Следует иметь в виду, что топографическая поверхность моря в спокойном состоянии не является эквипотенциальной поверхностью. Несовпадение между ними может достигать </w:t>
      </w:r>
      <w:smartTag w:uri="urn:schemas-microsoft-com:office:smarttags" w:element="metricconverter">
        <w:smartTagPr>
          <w:attr w:name="ProductID" w:val="2.5 м"/>
        </w:smartTagPr>
        <w:r>
          <w:rPr>
            <w:sz w:val="28"/>
            <w:szCs w:val="28"/>
          </w:rPr>
          <w:t>2.5 м</w:t>
        </w:r>
      </w:smartTag>
      <w:r>
        <w:rPr>
          <w:sz w:val="28"/>
          <w:szCs w:val="28"/>
        </w:rPr>
        <w:t>. Проведем также силовые линии АА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и ММ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до их пересечения с эллипсоидом. Ортометрической высотой называется расстояние между геоидом и данной точкой, отсчитываемое по силовой линии, проходящей через точку. Ортометрическая высота для точки М может быть получена по формуле: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9920CB">
        <w:rPr>
          <w:position w:val="-30"/>
          <w:sz w:val="28"/>
          <w:szCs w:val="28"/>
        </w:rPr>
        <w:object w:dxaOrig="1620" w:dyaOrig="700">
          <v:shape id="_x0000_i1026" type="#_x0000_t75" style="width:81.2pt;height:35.15pt" o:ole="">
            <v:imagedata r:id="rId7" o:title=""/>
          </v:shape>
          <o:OLEObject Type="Embed" ProgID="Equation.3" ShapeID="_x0000_i1026" DrawAspect="Content" ObjectID="_1693029719" r:id="rId8"/>
        </w:object>
      </w:r>
      <w:r>
        <w:rPr>
          <w:sz w:val="28"/>
          <w:szCs w:val="28"/>
        </w:rPr>
        <w:t>,                                                   (28)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  <w:lang w:val="en-US"/>
        </w:rPr>
        <w:t>m</w:t>
      </w:r>
      <w:r>
        <w:rPr>
          <w:sz w:val="28"/>
          <w:szCs w:val="28"/>
          <w:vertAlign w:val="subscript"/>
        </w:rPr>
        <w:t xml:space="preserve"> </w:t>
      </w:r>
      <w:r w:rsidRPr="001450FF">
        <w:rPr>
          <w:sz w:val="28"/>
          <w:szCs w:val="28"/>
        </w:rPr>
        <w:t>– среднее значение реальной силы тяжести на отрезке ММ</w:t>
      </w:r>
      <w:r w:rsidRPr="001450FF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;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gramStart"/>
      <w:r>
        <w:rPr>
          <w:sz w:val="28"/>
          <w:szCs w:val="28"/>
          <w:lang w:val="en-US"/>
        </w:rPr>
        <w:t>g</w:t>
      </w:r>
      <w:r>
        <w:rPr>
          <w:sz w:val="28"/>
          <w:szCs w:val="28"/>
        </w:rPr>
        <w:t xml:space="preserve">  –</w:t>
      </w:r>
      <w:proofErr w:type="gramEnd"/>
      <w:r>
        <w:rPr>
          <w:sz w:val="28"/>
          <w:szCs w:val="28"/>
        </w:rPr>
        <w:t xml:space="preserve"> измеренное значение реальной силы тяжести вдоль линии АМ. 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Без ущерба для точности ортометрическую высоту можно отсчитывать по нормали к эллипсоиду. Недостатком ортометрических высот является то, что для их точного вычисления требуется знание строения земной коры, иными словами, точность вычисления ортометрических высот от принятой гипотезы о строении земной коры.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От этого недостатка свободна предложенная М.С. Молоденским система нормальных высот, в которых высота точки может быть вычислена по формуле: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BA23B2">
        <w:rPr>
          <w:position w:val="-30"/>
          <w:sz w:val="28"/>
          <w:szCs w:val="28"/>
        </w:rPr>
        <w:object w:dxaOrig="1600" w:dyaOrig="700">
          <v:shape id="_x0000_i1027" type="#_x0000_t75" style="width:80.35pt;height:35.15pt" o:ole="">
            <v:imagedata r:id="rId9" o:title=""/>
          </v:shape>
          <o:OLEObject Type="Embed" ProgID="Equation.3" ShapeID="_x0000_i1027" DrawAspect="Content" ObjectID="_1693029720" r:id="rId10"/>
        </w:object>
      </w:r>
      <w:r>
        <w:rPr>
          <w:sz w:val="28"/>
          <w:szCs w:val="28"/>
        </w:rPr>
        <w:t>,                                                 (2.29)</w:t>
      </w:r>
    </w:p>
    <w:p w:rsidR="00F8156C" w:rsidRPr="00BA792E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γ</w:t>
      </w:r>
      <w:r w:rsidRPr="00BA23B2">
        <w:rPr>
          <w:sz w:val="28"/>
          <w:szCs w:val="28"/>
          <w:vertAlign w:val="subscript"/>
        </w:rPr>
        <w:t>m</w:t>
      </w:r>
      <w:r>
        <w:rPr>
          <w:sz w:val="28"/>
          <w:szCs w:val="28"/>
        </w:rPr>
        <w:t xml:space="preserve"> – значение нормальной силы тяжести на </w:t>
      </w:r>
      <w:proofErr w:type="gramStart"/>
      <w:r>
        <w:rPr>
          <w:sz w:val="28"/>
          <w:szCs w:val="28"/>
        </w:rPr>
        <w:t xml:space="preserve">высоте </w:t>
      </w:r>
      <w:r w:rsidRPr="00BA23B2">
        <w:rPr>
          <w:position w:val="-24"/>
          <w:sz w:val="28"/>
          <w:szCs w:val="28"/>
        </w:rPr>
        <w:object w:dxaOrig="1080" w:dyaOrig="620">
          <v:shape id="_x0000_i1028" type="#_x0000_t75" style="width:54.4pt;height:31pt" o:ole="">
            <v:imagedata r:id="rId11" o:title=""/>
          </v:shape>
          <o:OLEObject Type="Embed" ProgID="Equation.3" ShapeID="_x0000_i1028" DrawAspect="Content" ObjectID="_1693029721" r:id="rId12"/>
        </w:object>
      </w:r>
      <w:r>
        <w:rPr>
          <w:sz w:val="28"/>
          <w:szCs w:val="28"/>
        </w:rPr>
        <w:t xml:space="preserve"> над</w:t>
      </w:r>
      <w:proofErr w:type="gramEnd"/>
      <w:r>
        <w:rPr>
          <w:sz w:val="28"/>
          <w:szCs w:val="28"/>
        </w:rPr>
        <w:t xml:space="preserve"> эллипсоидом. На поверхности эллипсоида нормальная сила тяжести γ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вычисляется по формуле Гельмерта (или формуле Сомильяна):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Pr="00BA23B2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9501D5">
        <w:rPr>
          <w:position w:val="-12"/>
          <w:sz w:val="28"/>
          <w:szCs w:val="28"/>
        </w:rPr>
        <w:object w:dxaOrig="3220" w:dyaOrig="380">
          <v:shape id="_x0000_i1029" type="#_x0000_t75" style="width:161.6pt;height:18.4pt" o:ole="">
            <v:imagedata r:id="rId13" o:title=""/>
          </v:shape>
          <o:OLEObject Type="Embed" ProgID="Equation.3" ShapeID="_x0000_i1029" DrawAspect="Content" ObjectID="_1693029722" r:id="rId14"/>
        </w:object>
      </w:r>
      <w:r>
        <w:rPr>
          <w:sz w:val="28"/>
          <w:szCs w:val="28"/>
        </w:rPr>
        <w:t>,                                         (2.30)</w:t>
      </w:r>
    </w:p>
    <w:p w:rsidR="00F8156C" w:rsidRPr="00BA792E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rPr>
          <w:sz w:val="28"/>
          <w:szCs w:val="28"/>
        </w:rPr>
      </w:pPr>
      <w:r>
        <w:rPr>
          <w:sz w:val="28"/>
          <w:szCs w:val="28"/>
        </w:rPr>
        <w:tab/>
        <w:t>где</w:t>
      </w:r>
    </w:p>
    <w:p w:rsidR="00F8156C" w:rsidRDefault="00F8156C" w:rsidP="00F8156C">
      <w:pPr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Pr="004227B1">
        <w:rPr>
          <w:position w:val="-30"/>
          <w:sz w:val="28"/>
          <w:szCs w:val="28"/>
        </w:rPr>
        <w:object w:dxaOrig="2640" w:dyaOrig="720">
          <v:shape id="_x0000_i1030" type="#_x0000_t75" style="width:132.3pt;height:36pt" o:ole="">
            <v:imagedata r:id="rId15" o:title=""/>
          </v:shape>
          <o:OLEObject Type="Embed" ProgID="Equation.3" ShapeID="_x0000_i1030" DrawAspect="Content" ObjectID="_1693029723" r:id="rId16"/>
        </w:object>
      </w:r>
      <w:r>
        <w:rPr>
          <w:sz w:val="28"/>
          <w:szCs w:val="28"/>
        </w:rPr>
        <w:t>;                                            (2.31)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4227B1">
        <w:rPr>
          <w:position w:val="-24"/>
          <w:sz w:val="28"/>
          <w:szCs w:val="28"/>
        </w:rPr>
        <w:object w:dxaOrig="3120" w:dyaOrig="620">
          <v:shape id="_x0000_i1031" type="#_x0000_t75" style="width:155.7pt;height:31pt" o:ole="">
            <v:imagedata r:id="rId17" o:title=""/>
          </v:shape>
          <o:OLEObject Type="Embed" ProgID="Equation.3" ShapeID="_x0000_i1031" DrawAspect="Content" ObjectID="_1693029724" r:id="rId18"/>
        </w:object>
      </w:r>
      <w:r>
        <w:rPr>
          <w:sz w:val="28"/>
          <w:szCs w:val="28"/>
        </w:rPr>
        <w:t xml:space="preserve">.                                        (2.32) 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Нормальная сила тяжести во внешнем пространстве находится по формуле: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4227B1">
        <w:rPr>
          <w:position w:val="-12"/>
          <w:sz w:val="28"/>
          <w:szCs w:val="28"/>
        </w:rPr>
        <w:object w:dxaOrig="1840" w:dyaOrig="360">
          <v:shape id="_x0000_i1032" type="#_x0000_t75" style="width:92.1pt;height:18.4pt" o:ole="">
            <v:imagedata r:id="rId19" o:title=""/>
          </v:shape>
          <o:OLEObject Type="Embed" ProgID="Equation.3" ShapeID="_x0000_i1032" DrawAspect="Content" ObjectID="_1693029725" r:id="rId20"/>
        </w:object>
      </w:r>
      <w:r>
        <w:rPr>
          <w:sz w:val="28"/>
          <w:szCs w:val="28"/>
        </w:rPr>
        <w:t xml:space="preserve">                                                 (2.33)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где Н – высота над эллипсоидом. Значения коэффициентов приводятся для эллипсоида со сжатием α = 1/298.257 ± 0.001 и силе тяжести на экваторе          γ</w:t>
      </w:r>
      <w:r>
        <w:rPr>
          <w:sz w:val="28"/>
          <w:szCs w:val="28"/>
          <w:vertAlign w:val="subscript"/>
        </w:rPr>
        <w:t>е</w:t>
      </w:r>
      <w:r>
        <w:rPr>
          <w:sz w:val="28"/>
          <w:szCs w:val="28"/>
        </w:rPr>
        <w:t xml:space="preserve"> = 978030 мгал.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Нормальные высоты определяются теоретически строго, поскольку γ</w:t>
      </w:r>
      <w:r>
        <w:rPr>
          <w:sz w:val="28"/>
          <w:szCs w:val="28"/>
          <w:vertAlign w:val="subscript"/>
          <w:lang w:val="en-US"/>
        </w:rPr>
        <w:t>m</w:t>
      </w:r>
      <w:r w:rsidRPr="005545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может быть вычислено практически безошибочно. Нормальные высоты, вычисленные по формуле (2.29), отсчитываются от поверхности квазигеоида. </w:t>
      </w:r>
      <w:r>
        <w:rPr>
          <w:sz w:val="28"/>
          <w:szCs w:val="28"/>
        </w:rPr>
        <w:lastRenderedPageBreak/>
        <w:t xml:space="preserve">Разность между ортометрической и нормальной высотой можно оценить по формуле </w:t>
      </w:r>
      <w:r w:rsidRPr="00BA493C">
        <w:rPr>
          <w:sz w:val="28"/>
          <w:szCs w:val="28"/>
        </w:rPr>
        <w:t>[</w:t>
      </w:r>
      <w:r>
        <w:rPr>
          <w:sz w:val="28"/>
          <w:szCs w:val="28"/>
        </w:rPr>
        <w:t>Машимов, 1982</w:t>
      </w:r>
      <w:r w:rsidRPr="00BA493C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BA493C">
        <w:rPr>
          <w:position w:val="-12"/>
          <w:sz w:val="28"/>
          <w:szCs w:val="28"/>
        </w:rPr>
        <w:object w:dxaOrig="2920" w:dyaOrig="380">
          <v:shape id="_x0000_i1033" type="#_x0000_t75" style="width:146.5pt;height:18.4pt" o:ole="">
            <v:imagedata r:id="rId21" o:title=""/>
          </v:shape>
          <o:OLEObject Type="Embed" ProgID="Equation.3" ShapeID="_x0000_i1033" DrawAspect="Content" ObjectID="_1693029726" r:id="rId22"/>
        </w:object>
      </w:r>
      <w:r>
        <w:rPr>
          <w:sz w:val="28"/>
          <w:szCs w:val="28"/>
        </w:rPr>
        <w:t>.                                       (2.34)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горных районах возможно отступление квазигеоида от геоида до –            2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  <w:szCs w:val="28"/>
          </w:rPr>
          <w:t>3 м</w:t>
        </w:r>
      </w:smartTag>
      <w:r>
        <w:rPr>
          <w:sz w:val="28"/>
          <w:szCs w:val="28"/>
        </w:rPr>
        <w:t>, но в большинстве случаев оно имеет величину порядка нескольких сантиметров. На морях и океанах квазигеоид совпадает с геоидом.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измерениях базовых линий с применением </w:t>
      </w:r>
      <w:r>
        <w:rPr>
          <w:sz w:val="28"/>
          <w:szCs w:val="28"/>
          <w:lang w:val="en-US"/>
        </w:rPr>
        <w:t>GPS</w:t>
      </w:r>
      <w:r>
        <w:rPr>
          <w:sz w:val="28"/>
          <w:szCs w:val="28"/>
        </w:rPr>
        <w:t xml:space="preserve"> технологий относительными методами измеряется разность эллипсоидальных высот: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A16AA7">
        <w:rPr>
          <w:position w:val="-10"/>
          <w:sz w:val="28"/>
          <w:szCs w:val="28"/>
        </w:rPr>
        <w:object w:dxaOrig="1860" w:dyaOrig="360">
          <v:shape id="_x0000_i1034" type="#_x0000_t75" style="width:92.95pt;height:18.4pt" o:ole="">
            <v:imagedata r:id="rId23" o:title=""/>
          </v:shape>
          <o:OLEObject Type="Embed" ProgID="Equation.3" ShapeID="_x0000_i1034" DrawAspect="Content" ObjectID="_1693029727" r:id="rId24"/>
        </w:object>
      </w:r>
      <w:r>
        <w:rPr>
          <w:sz w:val="28"/>
          <w:szCs w:val="28"/>
        </w:rPr>
        <w:t>.                                                 (2.35)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Чтобы передать нормальную (или ортометрическую) высоту на точку М, необходимо знать высоты квазигеоида (или геоида) над эллипсоидом для начала и конца базовой линии, то есть нужно привлекать информацию о квазигеоиде (геоиде):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Pr="00A16AA7">
        <w:rPr>
          <w:position w:val="-10"/>
          <w:sz w:val="28"/>
          <w:szCs w:val="28"/>
        </w:rPr>
        <w:object w:dxaOrig="2880" w:dyaOrig="360">
          <v:shape id="_x0000_i1035" type="#_x0000_t75" style="width:2in;height:18.4pt" o:ole="">
            <v:imagedata r:id="rId25" o:title=""/>
          </v:shape>
          <o:OLEObject Type="Embed" ProgID="Equation.3" ShapeID="_x0000_i1035" DrawAspect="Content" ObjectID="_1693029728" r:id="rId26"/>
        </w:object>
      </w:r>
      <w:r>
        <w:rPr>
          <w:sz w:val="28"/>
          <w:szCs w:val="28"/>
        </w:rPr>
        <w:t xml:space="preserve">,   </w:t>
      </w:r>
      <w:r w:rsidRPr="00AB2D80">
        <w:rPr>
          <w:position w:val="-10"/>
          <w:sz w:val="28"/>
          <w:szCs w:val="28"/>
        </w:rPr>
        <w:object w:dxaOrig="2900" w:dyaOrig="360">
          <v:shape id="_x0000_i1036" type="#_x0000_t75" style="width:144.85pt;height:18.4pt" o:ole="">
            <v:imagedata r:id="rId27" o:title=""/>
          </v:shape>
          <o:OLEObject Type="Embed" ProgID="Equation.3" ShapeID="_x0000_i1036" DrawAspect="Content" ObjectID="_1693029729" r:id="rId28"/>
        </w:object>
      </w:r>
      <w:r>
        <w:rPr>
          <w:sz w:val="28"/>
          <w:szCs w:val="28"/>
        </w:rPr>
        <w:t>.               (2.36)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F8156C" w:rsidRDefault="00F8156C" w:rsidP="00F8156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2.6.2 Балтийская система высот.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Современная нивелирная сеть России (СНГ) подразделяется на сети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III и IV классов. Главной высотной основой являются сети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классов, прокладываемые вдоль железных дорог, шоссе, улучшенных грунтовых дорог, по берегам больших рек, а иногда и по грунтовым дорогам и тропам.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Нивелирная сеть строится в виде замкнутых полигонов и отдельных линий большой протяженности. Нивелирная сеть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опирается на реперы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и создается в виде полигонов с периметром от 400 до </w:t>
      </w:r>
      <w:smartTag w:uri="urn:schemas-microsoft-com:office:smarttags" w:element="metricconverter">
        <w:smartTagPr>
          <w:attr w:name="ProductID" w:val="800 км"/>
        </w:smartTagPr>
        <w:r>
          <w:rPr>
            <w:sz w:val="28"/>
            <w:szCs w:val="28"/>
          </w:rPr>
          <w:t>800 км</w:t>
        </w:r>
      </w:smartTag>
      <w:r>
        <w:rPr>
          <w:sz w:val="28"/>
          <w:szCs w:val="28"/>
        </w:rPr>
        <w:t xml:space="preserve"> в обжитых районах и 1 000 – </w:t>
      </w:r>
      <w:smartTag w:uri="urn:schemas-microsoft-com:office:smarttags" w:element="metricconverter">
        <w:smartTagPr>
          <w:attr w:name="ProductID" w:val="2 000 км"/>
        </w:smartTagPr>
        <w:r>
          <w:rPr>
            <w:sz w:val="28"/>
            <w:szCs w:val="28"/>
          </w:rPr>
          <w:t>2 000 км</w:t>
        </w:r>
      </w:smartTag>
      <w:r>
        <w:rPr>
          <w:sz w:val="28"/>
          <w:szCs w:val="28"/>
        </w:rPr>
        <w:t xml:space="preserve"> – в необжитых районах. На востоке страны нивелирные линии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 иногда достигают 6 000 – </w:t>
      </w:r>
      <w:smartTag w:uri="urn:schemas-microsoft-com:office:smarttags" w:element="metricconverter">
        <w:smartTagPr>
          <w:attr w:name="ProductID" w:val="7 000 км"/>
        </w:smartTagPr>
        <w:r>
          <w:rPr>
            <w:sz w:val="28"/>
            <w:szCs w:val="28"/>
          </w:rPr>
          <w:t>7 000 км</w:t>
        </w:r>
      </w:smartTag>
      <w:r>
        <w:rPr>
          <w:sz w:val="28"/>
          <w:szCs w:val="28"/>
        </w:rPr>
        <w:t xml:space="preserve">. Сети III и IV классов прокладываются внутри полигонов высшего класса, причем для III класса предельное значение периметра полигона – не более </w:t>
      </w:r>
      <w:smartTag w:uri="urn:schemas-microsoft-com:office:smarttags" w:element="metricconverter">
        <w:smartTagPr>
          <w:attr w:name="ProductID" w:val="150 км"/>
        </w:smartTagPr>
        <w:r>
          <w:rPr>
            <w:sz w:val="28"/>
            <w:szCs w:val="28"/>
          </w:rPr>
          <w:t>150 км</w:t>
        </w:r>
      </w:smartTag>
      <w:r>
        <w:rPr>
          <w:sz w:val="28"/>
          <w:szCs w:val="28"/>
        </w:rPr>
        <w:t xml:space="preserve"> (в восточных районах – до </w:t>
      </w:r>
      <w:smartTag w:uri="urn:schemas-microsoft-com:office:smarttags" w:element="metricconverter">
        <w:smartTagPr>
          <w:attr w:name="ProductID" w:val="300 км"/>
        </w:smartTagPr>
        <w:r>
          <w:rPr>
            <w:sz w:val="28"/>
            <w:szCs w:val="28"/>
          </w:rPr>
          <w:t>300 км</w:t>
        </w:r>
      </w:smartTag>
      <w:r>
        <w:rPr>
          <w:sz w:val="28"/>
          <w:szCs w:val="28"/>
        </w:rPr>
        <w:t xml:space="preserve">), а длины линий IV класса – не более </w:t>
      </w:r>
      <w:smartTag w:uri="urn:schemas-microsoft-com:office:smarttags" w:element="metricconverter">
        <w:smartTagPr>
          <w:attr w:name="ProductID" w:val="50 км"/>
        </w:smartTagPr>
        <w:r>
          <w:rPr>
            <w:sz w:val="28"/>
            <w:szCs w:val="28"/>
          </w:rPr>
          <w:t>50 км</w:t>
        </w:r>
      </w:smartTag>
      <w:r>
        <w:rPr>
          <w:sz w:val="28"/>
          <w:szCs w:val="28"/>
        </w:rPr>
        <w:t xml:space="preserve">. Нивелирные сети всех классов закрепляются на местности реперами или стенными марками не реже, чем через </w:t>
      </w:r>
      <w:smartTag w:uri="urn:schemas-microsoft-com:office:smarttags" w:element="metricconverter">
        <w:smartTagPr>
          <w:attr w:name="ProductID" w:val="5 км"/>
        </w:smartTagPr>
        <w:r>
          <w:rPr>
            <w:sz w:val="28"/>
            <w:szCs w:val="28"/>
          </w:rPr>
          <w:t>5 км</w:t>
        </w:r>
      </w:smartTag>
      <w:r>
        <w:rPr>
          <w:sz w:val="28"/>
          <w:szCs w:val="28"/>
        </w:rPr>
        <w:t xml:space="preserve">. Невязки в нивелировании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III и IV классов не должны превышать в миллиметрах </w:t>
      </w:r>
      <w:proofErr w:type="gramStart"/>
      <w:r>
        <w:rPr>
          <w:sz w:val="28"/>
          <w:szCs w:val="28"/>
        </w:rPr>
        <w:t xml:space="preserve">соответственно </w:t>
      </w:r>
      <w:r w:rsidRPr="000A170D">
        <w:rPr>
          <w:position w:val="-6"/>
          <w:sz w:val="28"/>
          <w:szCs w:val="28"/>
        </w:rPr>
        <w:object w:dxaOrig="520" w:dyaOrig="340">
          <v:shape id="_x0000_i1037" type="#_x0000_t75" style="width:25.95pt;height:17.6pt" o:ole="">
            <v:imagedata r:id="rId29" o:title=""/>
          </v:shape>
          <o:OLEObject Type="Embed" ProgID="Equation.3" ShapeID="_x0000_i1037" DrawAspect="Content" ObjectID="_1693029730" r:id="rId30"/>
        </w:objec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0A170D">
        <w:rPr>
          <w:position w:val="-6"/>
          <w:sz w:val="28"/>
          <w:szCs w:val="28"/>
        </w:rPr>
        <w:object w:dxaOrig="520" w:dyaOrig="340">
          <v:shape id="_x0000_i1038" type="#_x0000_t75" style="width:25.95pt;height:17.6pt" o:ole="">
            <v:imagedata r:id="rId31" o:title=""/>
          </v:shape>
          <o:OLEObject Type="Embed" ProgID="Equation.3" ShapeID="_x0000_i1038" DrawAspect="Content" ObjectID="_1693029731" r:id="rId32"/>
        </w:object>
      </w:r>
      <w:r>
        <w:rPr>
          <w:sz w:val="28"/>
          <w:szCs w:val="28"/>
        </w:rPr>
        <w:t xml:space="preserve">, </w:t>
      </w:r>
      <w:r w:rsidRPr="000A170D">
        <w:rPr>
          <w:position w:val="-6"/>
          <w:sz w:val="28"/>
          <w:szCs w:val="28"/>
        </w:rPr>
        <w:object w:dxaOrig="620" w:dyaOrig="340">
          <v:shape id="_x0000_i1039" type="#_x0000_t75" style="width:31pt;height:17.6pt" o:ole="">
            <v:imagedata r:id="rId33" o:title=""/>
          </v:shape>
          <o:OLEObject Type="Embed" ProgID="Equation.3" ShapeID="_x0000_i1039" DrawAspect="Content" ObjectID="_1693029732" r:id="rId34"/>
        </w:object>
      </w:r>
      <w:r>
        <w:rPr>
          <w:sz w:val="28"/>
          <w:szCs w:val="28"/>
        </w:rPr>
        <w:t xml:space="preserve"> и </w:t>
      </w:r>
      <w:r w:rsidRPr="000A170D">
        <w:rPr>
          <w:position w:val="-6"/>
          <w:sz w:val="28"/>
          <w:szCs w:val="28"/>
        </w:rPr>
        <w:object w:dxaOrig="639" w:dyaOrig="340">
          <v:shape id="_x0000_i1040" type="#_x0000_t75" style="width:32.65pt;height:17.6pt" o:ole="">
            <v:imagedata r:id="rId35" o:title=""/>
          </v:shape>
          <o:OLEObject Type="Embed" ProgID="Equation.3" ShapeID="_x0000_i1040" DrawAspect="Content" ObjectID="_1693029733" r:id="rId36"/>
        </w:object>
      </w:r>
      <w:r>
        <w:rPr>
          <w:sz w:val="28"/>
          <w:szCs w:val="28"/>
        </w:rPr>
        <w:t>, где L – длина хода, в км.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 середине 1970-х гг. в СССР была построена высокоточная нивелирная сеть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классов. Общая протяженность линий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составила </w:t>
      </w:r>
      <w:smartTag w:uri="urn:schemas-microsoft-com:office:smarttags" w:element="metricconverter">
        <w:smartTagPr>
          <w:attr w:name="ProductID" w:val="70 000 км"/>
        </w:smartTagPr>
        <w:r>
          <w:rPr>
            <w:sz w:val="28"/>
            <w:szCs w:val="28"/>
          </w:rPr>
          <w:t>70 000 км</w:t>
        </w:r>
      </w:smartTag>
      <w:r>
        <w:rPr>
          <w:sz w:val="28"/>
          <w:szCs w:val="28"/>
        </w:rPr>
        <w:t xml:space="preserve">, а линий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– </w:t>
      </w:r>
      <w:smartTag w:uri="urn:schemas-microsoft-com:office:smarttags" w:element="metricconverter">
        <w:smartTagPr>
          <w:attr w:name="ProductID" w:val="360 000 км"/>
        </w:smartTagPr>
        <w:r>
          <w:rPr>
            <w:sz w:val="28"/>
            <w:szCs w:val="28"/>
          </w:rPr>
          <w:t>360 000 км</w:t>
        </w:r>
      </w:smartTag>
      <w:r>
        <w:rPr>
          <w:sz w:val="28"/>
          <w:szCs w:val="28"/>
        </w:rPr>
        <w:t xml:space="preserve">. При уравнивании нивелирная сеть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классов была разбита на блоки «Запад» и «Восток», граница между которыми проходила по линии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класса «Архангельск – Казань – Аральское море – </w:t>
      </w:r>
      <w:r>
        <w:rPr>
          <w:sz w:val="28"/>
          <w:szCs w:val="28"/>
        </w:rPr>
        <w:lastRenderedPageBreak/>
        <w:t>Арысь». Вычисления выполнялись в системе нормальных высот от нуля Кронштадтского футштока. Средние квадратические ошибки на один километр нивелирного хода составили:</w:t>
      </w:r>
    </w:p>
    <w:tbl>
      <w:tblPr>
        <w:tblStyle w:val="a3"/>
        <w:tblW w:w="640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627"/>
        <w:gridCol w:w="1980"/>
        <w:gridCol w:w="1800"/>
      </w:tblGrid>
      <w:tr w:rsidR="00F8156C" w:rsidTr="00C84F6D">
        <w:trPr>
          <w:jc w:val="center"/>
        </w:trPr>
        <w:tc>
          <w:tcPr>
            <w:tcW w:w="2627" w:type="dxa"/>
          </w:tcPr>
          <w:p w:rsidR="00F8156C" w:rsidRDefault="00F8156C" w:rsidP="00C84F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F8156C" w:rsidRPr="00ED161C" w:rsidRDefault="00F8156C" w:rsidP="00C84F6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:rsidR="00F8156C" w:rsidRPr="00ED161C" w:rsidRDefault="00F8156C" w:rsidP="00C84F6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класс</w:t>
            </w:r>
          </w:p>
        </w:tc>
      </w:tr>
      <w:tr w:rsidR="00F8156C" w:rsidTr="00C84F6D">
        <w:trPr>
          <w:jc w:val="center"/>
        </w:trPr>
        <w:tc>
          <w:tcPr>
            <w:tcW w:w="2627" w:type="dxa"/>
          </w:tcPr>
          <w:p w:rsidR="00F8156C" w:rsidRDefault="00F8156C" w:rsidP="00C84F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Блок «Запад»</w:t>
            </w:r>
          </w:p>
        </w:tc>
        <w:tc>
          <w:tcPr>
            <w:tcW w:w="198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.6 мм"/>
              </w:smartTagPr>
              <w:r>
                <w:rPr>
                  <w:sz w:val="28"/>
                  <w:szCs w:val="28"/>
                </w:rPr>
                <w:t>1.6 мм</w:t>
              </w:r>
            </w:smartTag>
          </w:p>
        </w:tc>
        <w:tc>
          <w:tcPr>
            <w:tcW w:w="180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.7 мм"/>
              </w:smartTagPr>
              <w:r>
                <w:rPr>
                  <w:sz w:val="28"/>
                  <w:szCs w:val="28"/>
                </w:rPr>
                <w:t>2.7 мм</w:t>
              </w:r>
            </w:smartTag>
          </w:p>
        </w:tc>
      </w:tr>
      <w:tr w:rsidR="00F8156C" w:rsidTr="00C84F6D">
        <w:trPr>
          <w:jc w:val="center"/>
        </w:trPr>
        <w:tc>
          <w:tcPr>
            <w:tcW w:w="2627" w:type="dxa"/>
          </w:tcPr>
          <w:p w:rsidR="00F8156C" w:rsidRDefault="00F8156C" w:rsidP="00C84F6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Блок «Восток»</w:t>
            </w:r>
          </w:p>
        </w:tc>
        <w:tc>
          <w:tcPr>
            <w:tcW w:w="198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.1 мм"/>
              </w:smartTagPr>
              <w:r>
                <w:rPr>
                  <w:sz w:val="28"/>
                  <w:szCs w:val="28"/>
                </w:rPr>
                <w:t>2.1 мм</w:t>
              </w:r>
            </w:smartTag>
          </w:p>
        </w:tc>
        <w:tc>
          <w:tcPr>
            <w:tcW w:w="180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3.6 мм"/>
              </w:smartTagPr>
              <w:r>
                <w:rPr>
                  <w:sz w:val="28"/>
                  <w:szCs w:val="28"/>
                </w:rPr>
                <w:t>3.6 мм</w:t>
              </w:r>
            </w:smartTag>
          </w:p>
        </w:tc>
      </w:tr>
    </w:tbl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Это говорит о том, что сеть, закрепляющая Балтийскую систему высот </w:t>
      </w:r>
      <w:smartTag w:uri="urn:schemas-microsoft-com:office:smarttags" w:element="metricconverter">
        <w:smartTagPr>
          <w:attr w:name="ProductID" w:val="1977 г"/>
        </w:smartTagPr>
        <w:r>
          <w:rPr>
            <w:sz w:val="28"/>
            <w:szCs w:val="28"/>
          </w:rPr>
          <w:t>1977 г</w:t>
        </w:r>
      </w:smartTag>
      <w:r>
        <w:rPr>
          <w:sz w:val="28"/>
          <w:szCs w:val="28"/>
        </w:rPr>
        <w:t xml:space="preserve">. (БСВ-77), протянувшаяся более, чем на </w:t>
      </w:r>
      <w:smartTag w:uri="urn:schemas-microsoft-com:office:smarttags" w:element="metricconverter">
        <w:smartTagPr>
          <w:attr w:name="ProductID" w:val="10 000 км"/>
        </w:smartTagPr>
        <w:r>
          <w:rPr>
            <w:sz w:val="28"/>
            <w:szCs w:val="28"/>
          </w:rPr>
          <w:t>10 000 км</w:t>
        </w:r>
      </w:smartTag>
      <w:r>
        <w:rPr>
          <w:sz w:val="28"/>
          <w:szCs w:val="28"/>
        </w:rPr>
        <w:t xml:space="preserve"> по долготе и на </w:t>
      </w:r>
      <w:smartTag w:uri="urn:schemas-microsoft-com:office:smarttags" w:element="metricconverter">
        <w:smartTagPr>
          <w:attr w:name="ProductID" w:val="3 000 км"/>
        </w:smartTagPr>
        <w:r>
          <w:rPr>
            <w:sz w:val="28"/>
            <w:szCs w:val="28"/>
          </w:rPr>
          <w:t>3 000 км</w:t>
        </w:r>
      </w:smartTag>
      <w:r>
        <w:rPr>
          <w:sz w:val="28"/>
          <w:szCs w:val="28"/>
        </w:rPr>
        <w:t xml:space="preserve"> по широте, построена с очень высокой точностью. Наиболее удаленные от Кронштадтского футштока пункты определены со средней квадратической ошибкой не более </w:t>
      </w:r>
      <w:smartTag w:uri="urn:schemas-microsoft-com:office:smarttags" w:element="metricconverter">
        <w:smartTagPr>
          <w:attr w:name="ProductID" w:val="15 см"/>
        </w:smartTagPr>
        <w:r>
          <w:rPr>
            <w:sz w:val="28"/>
            <w:szCs w:val="28"/>
          </w:rPr>
          <w:t>15 см</w:t>
        </w:r>
      </w:smartTag>
      <w:r>
        <w:rPr>
          <w:sz w:val="28"/>
          <w:szCs w:val="28"/>
        </w:rPr>
        <w:t xml:space="preserve"> </w:t>
      </w:r>
      <w:r w:rsidRPr="00EF76B1">
        <w:rPr>
          <w:sz w:val="28"/>
          <w:szCs w:val="28"/>
        </w:rPr>
        <w:t>[</w:t>
      </w:r>
      <w:r>
        <w:rPr>
          <w:sz w:val="28"/>
          <w:szCs w:val="28"/>
        </w:rPr>
        <w:t>Яковлев,</w:t>
      </w:r>
      <w:r w:rsidRPr="00EF76B1">
        <w:rPr>
          <w:sz w:val="28"/>
          <w:szCs w:val="28"/>
        </w:rPr>
        <w:t xml:space="preserve"> 1989]</w:t>
      </w:r>
      <w:r>
        <w:rPr>
          <w:sz w:val="28"/>
          <w:szCs w:val="28"/>
        </w:rPr>
        <w:t xml:space="preserve">. По данным ЦНИИГАиК, точность нивелирных сетей по результатам уравнивания характеризуется следующими средними квадратическими ошибками на километр хода </w:t>
      </w:r>
      <w:r w:rsidRPr="00EF76B1">
        <w:rPr>
          <w:sz w:val="28"/>
          <w:szCs w:val="28"/>
        </w:rPr>
        <w:t>[</w:t>
      </w:r>
      <w:r>
        <w:rPr>
          <w:sz w:val="28"/>
          <w:szCs w:val="28"/>
        </w:rPr>
        <w:t>Национальный отсчет, 1995</w:t>
      </w:r>
      <w:r w:rsidRPr="00EF76B1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:rsidR="00F8156C" w:rsidRPr="00EF76B1" w:rsidRDefault="00F8156C" w:rsidP="00F8156C">
      <w:pPr>
        <w:jc w:val="both"/>
        <w:rPr>
          <w:sz w:val="28"/>
          <w:szCs w:val="28"/>
        </w:rPr>
      </w:pPr>
    </w:p>
    <w:tbl>
      <w:tblPr>
        <w:tblStyle w:val="a3"/>
        <w:tblW w:w="37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980"/>
        <w:gridCol w:w="1800"/>
      </w:tblGrid>
      <w:tr w:rsidR="00F8156C" w:rsidRPr="00ED161C" w:rsidTr="00C84F6D">
        <w:trPr>
          <w:jc w:val="center"/>
        </w:trPr>
        <w:tc>
          <w:tcPr>
            <w:tcW w:w="1980" w:type="dxa"/>
          </w:tcPr>
          <w:p w:rsidR="00F8156C" w:rsidRPr="00ED161C" w:rsidRDefault="00F8156C" w:rsidP="00C84F6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:rsidR="00F8156C" w:rsidRPr="00ED161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.5 мм"/>
              </w:smartTagPr>
              <w:r>
                <w:rPr>
                  <w:sz w:val="28"/>
                  <w:szCs w:val="28"/>
                </w:rPr>
                <w:t>0.5 мм</w:t>
              </w:r>
            </w:smartTag>
            <w:r>
              <w:rPr>
                <w:sz w:val="28"/>
                <w:szCs w:val="28"/>
              </w:rPr>
              <w:t>,</w:t>
            </w:r>
          </w:p>
        </w:tc>
      </w:tr>
      <w:tr w:rsidR="00F8156C" w:rsidTr="00C84F6D">
        <w:trPr>
          <w:jc w:val="center"/>
        </w:trPr>
        <w:tc>
          <w:tcPr>
            <w:tcW w:w="198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0.8 мм"/>
              </w:smartTagPr>
              <w:r>
                <w:rPr>
                  <w:sz w:val="28"/>
                  <w:szCs w:val="28"/>
                </w:rPr>
                <w:t>0.8 мм</w:t>
              </w:r>
            </w:smartTag>
            <w:r>
              <w:rPr>
                <w:sz w:val="28"/>
                <w:szCs w:val="28"/>
              </w:rPr>
              <w:t>,</w:t>
            </w:r>
          </w:p>
        </w:tc>
      </w:tr>
      <w:tr w:rsidR="00F8156C" w:rsidTr="00C84F6D">
        <w:trPr>
          <w:jc w:val="center"/>
        </w:trPr>
        <w:tc>
          <w:tcPr>
            <w:tcW w:w="198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.6 мм"/>
              </w:smartTagPr>
              <w:r>
                <w:rPr>
                  <w:sz w:val="28"/>
                  <w:szCs w:val="28"/>
                </w:rPr>
                <w:t>1.6 мм</w:t>
              </w:r>
            </w:smartTag>
            <w:r>
              <w:rPr>
                <w:sz w:val="28"/>
                <w:szCs w:val="28"/>
              </w:rPr>
              <w:t>,</w:t>
            </w:r>
          </w:p>
        </w:tc>
      </w:tr>
      <w:tr w:rsidR="00F8156C" w:rsidTr="00C84F6D">
        <w:trPr>
          <w:jc w:val="center"/>
        </w:trPr>
        <w:tc>
          <w:tcPr>
            <w:tcW w:w="198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800" w:type="dxa"/>
          </w:tcPr>
          <w:p w:rsidR="00F8156C" w:rsidRDefault="00F8156C" w:rsidP="00C84F6D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6 мм"/>
              </w:smartTagPr>
              <w:r>
                <w:rPr>
                  <w:sz w:val="28"/>
                  <w:szCs w:val="28"/>
                </w:rPr>
                <w:t>6 мм</w:t>
              </w:r>
            </w:smartTag>
            <w:r>
              <w:rPr>
                <w:sz w:val="28"/>
                <w:szCs w:val="28"/>
              </w:rPr>
              <w:t>.</w:t>
            </w:r>
          </w:p>
        </w:tc>
      </w:tr>
    </w:tbl>
    <w:p w:rsidR="00F8156C" w:rsidRDefault="00F8156C" w:rsidP="00F8156C">
      <w:pPr>
        <w:jc w:val="center"/>
        <w:rPr>
          <w:sz w:val="28"/>
          <w:szCs w:val="28"/>
        </w:rPr>
      </w:pPr>
    </w:p>
    <w:p w:rsidR="00F8156C" w:rsidRPr="00EF76B1" w:rsidRDefault="00F8156C" w:rsidP="00F8156C">
      <w:pPr>
        <w:jc w:val="center"/>
        <w:rPr>
          <w:b/>
          <w:sz w:val="28"/>
          <w:szCs w:val="28"/>
        </w:rPr>
      </w:pPr>
      <w:r w:rsidRPr="00EF76B1">
        <w:rPr>
          <w:b/>
          <w:sz w:val="28"/>
          <w:szCs w:val="28"/>
        </w:rPr>
        <w:t>2.7 Топоцентрические системы координат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Начало топоцентрической системы находится в некоторой точке наблюдений А, а оси параллельны осям соответствующих геоцентрических координатных систем. Следовательно, можно образовать истинную небесную топоцентрическую </w:t>
      </w:r>
      <w:proofErr w:type="gramStart"/>
      <w:r>
        <w:rPr>
          <w:sz w:val="28"/>
          <w:szCs w:val="28"/>
        </w:rPr>
        <w:t xml:space="preserve">систему </w:t>
      </w:r>
      <w:r w:rsidRPr="00825F1A">
        <w:rPr>
          <w:position w:val="-10"/>
          <w:sz w:val="28"/>
          <w:szCs w:val="28"/>
        </w:rPr>
        <w:object w:dxaOrig="740" w:dyaOrig="320">
          <v:shape id="_x0000_i1041" type="#_x0000_t75" style="width:36.85pt;height:15.9pt" o:ole="">
            <v:imagedata r:id="rId37" o:title=""/>
          </v:shape>
          <o:OLEObject Type="Embed" ProgID="Equation.3" ShapeID="_x0000_i1041" DrawAspect="Content" ObjectID="_1693029734" r:id="rId38"/>
        </w:objec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среднюю небесную топоцентрическую систему на эпоху t – </w:t>
      </w:r>
      <w:r w:rsidRPr="00825F1A">
        <w:rPr>
          <w:sz w:val="28"/>
          <w:szCs w:val="28"/>
        </w:rPr>
        <w:t xml:space="preserve"> </w:t>
      </w:r>
      <w:r w:rsidRPr="00BA1952">
        <w:rPr>
          <w:position w:val="-12"/>
          <w:sz w:val="28"/>
          <w:szCs w:val="28"/>
        </w:rPr>
        <w:object w:dxaOrig="880" w:dyaOrig="380">
          <v:shape id="_x0000_i1042" type="#_x0000_t75" style="width:44.35pt;height:18.4pt" o:ole="">
            <v:imagedata r:id="rId39" o:title=""/>
          </v:shape>
          <o:OLEObject Type="Embed" ProgID="Equation.3" ShapeID="_x0000_i1042" DrawAspect="Content" ObjectID="_1693029735" r:id="rId40"/>
        </w:object>
      </w:r>
      <w:r>
        <w:rPr>
          <w:sz w:val="28"/>
          <w:szCs w:val="28"/>
        </w:rPr>
        <w:t>, общеземную топоцентрическую систему AX'Y'Z' и другие. С помощью таких координат задается взаимное положение пунктов. Связь между этими системами выражается теми же формулами, что и между геоцентрическими системами.</w:t>
      </w: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Очень часто </w:t>
      </w:r>
      <w:proofErr w:type="gramStart"/>
      <w:r>
        <w:rPr>
          <w:sz w:val="28"/>
          <w:szCs w:val="28"/>
        </w:rPr>
        <w:t>при  построении</w:t>
      </w:r>
      <w:proofErr w:type="gramEnd"/>
      <w:r>
        <w:rPr>
          <w:sz w:val="28"/>
          <w:szCs w:val="28"/>
        </w:rPr>
        <w:t xml:space="preserve"> геодезических сетей спутниковыми методами применяются локальные геодезические координаты, основной плоскостью которых является плоскость геодезического горизонта, ось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 направлена в геодезический зенит пункта, ось N – на север, а ось Е – на восток (рисунок  2.7). Связь координат </w:t>
      </w:r>
      <w:r w:rsidRPr="00271D3C">
        <w:rPr>
          <w:sz w:val="28"/>
          <w:szCs w:val="28"/>
        </w:rPr>
        <w:t>ENU</w:t>
      </w:r>
      <w:r>
        <w:rPr>
          <w:sz w:val="28"/>
          <w:szCs w:val="28"/>
        </w:rPr>
        <w:t xml:space="preserve"> с топоцентрическими X'Y'Z' определяется формулой: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271D3C">
        <w:rPr>
          <w:position w:val="-50"/>
          <w:sz w:val="28"/>
          <w:szCs w:val="28"/>
        </w:rPr>
        <w:object w:dxaOrig="1380" w:dyaOrig="1120">
          <v:shape id="_x0000_i1043" type="#_x0000_t75" style="width:68.65pt;height:56.1pt" o:ole="">
            <v:imagedata r:id="rId41" o:title=""/>
          </v:shape>
          <o:OLEObject Type="Embed" ProgID="Equation.3" ShapeID="_x0000_i1043" DrawAspect="Content" ObjectID="_1693029736" r:id="rId42"/>
        </w:object>
      </w:r>
      <w:r>
        <w:rPr>
          <w:sz w:val="28"/>
          <w:szCs w:val="28"/>
        </w:rPr>
        <w:t xml:space="preserve">.                                                    (2.37)  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Матрица R выражается через геодезические координаты пункта А: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AF7CAC">
        <w:rPr>
          <w:position w:val="-50"/>
          <w:sz w:val="28"/>
          <w:szCs w:val="28"/>
        </w:rPr>
        <w:object w:dxaOrig="6240" w:dyaOrig="1120">
          <v:shape id="_x0000_i1044" type="#_x0000_t75" style="width:312.3pt;height:56.1pt" o:ole="">
            <v:imagedata r:id="rId43" o:title=""/>
          </v:shape>
          <o:OLEObject Type="Embed" ProgID="Equation.3" ShapeID="_x0000_i1044" DrawAspect="Content" ObjectID="_1693029737" r:id="rId44"/>
        </w:object>
      </w:r>
      <w:r>
        <w:rPr>
          <w:sz w:val="28"/>
          <w:szCs w:val="28"/>
        </w:rPr>
        <w:t xml:space="preserve">.              (2.38)       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Pr="00BB2B19" w:rsidRDefault="00F8156C" w:rsidP="00F8156C">
      <w:pPr>
        <w:jc w:val="center"/>
        <w:rPr>
          <w:sz w:val="28"/>
          <w:szCs w:val="28"/>
        </w:rPr>
      </w:pPr>
      <w:r w:rsidRPr="00BB2B19">
        <w:rPr>
          <w:noProof/>
          <w:sz w:val="28"/>
          <w:szCs w:val="28"/>
        </w:rPr>
        <w:drawing>
          <wp:inline distT="0" distB="0" distL="0" distR="0" wp14:anchorId="4211E1E4" wp14:editId="4313BB00">
            <wp:extent cx="2857500" cy="2495550"/>
            <wp:effectExtent l="0" t="0" r="0" b="0"/>
            <wp:docPr id="1" name="Рисунок 1" descr="сканиров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сканирование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lum bright="-6000"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Pr="003F706B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2.7 – Система локальных координат </w:t>
      </w:r>
      <w:r>
        <w:rPr>
          <w:sz w:val="28"/>
          <w:szCs w:val="28"/>
          <w:lang w:val="en-US"/>
        </w:rPr>
        <w:t>NEU</w:t>
      </w:r>
    </w:p>
    <w:p w:rsidR="00F8156C" w:rsidRPr="003F706B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 w:rsidRPr="003F706B">
        <w:rPr>
          <w:sz w:val="28"/>
          <w:szCs w:val="28"/>
        </w:rPr>
        <w:tab/>
      </w:r>
      <w:r>
        <w:rPr>
          <w:sz w:val="28"/>
          <w:szCs w:val="28"/>
        </w:rPr>
        <w:t xml:space="preserve">Сферическими координатами пункта В в данной системе являются: геодезический азимут </w:t>
      </w:r>
      <w:proofErr w:type="gramStart"/>
      <w:r>
        <w:rPr>
          <w:sz w:val="28"/>
          <w:szCs w:val="28"/>
        </w:rPr>
        <w:t>α</w:t>
      </w:r>
      <w:proofErr w:type="gramEnd"/>
      <w:r>
        <w:rPr>
          <w:sz w:val="28"/>
          <w:szCs w:val="28"/>
        </w:rPr>
        <w:t xml:space="preserve"> и геодезическая высота над горизонтом h:</w:t>
      </w:r>
    </w:p>
    <w:p w:rsidR="00F8156C" w:rsidRDefault="00F8156C" w:rsidP="00F8156C">
      <w:pPr>
        <w:jc w:val="both"/>
        <w:rPr>
          <w:sz w:val="28"/>
          <w:szCs w:val="28"/>
        </w:rPr>
      </w:pPr>
    </w:p>
    <w:p w:rsidR="00F8156C" w:rsidRDefault="00F8156C" w:rsidP="00F8156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9D4665">
        <w:rPr>
          <w:position w:val="-24"/>
          <w:sz w:val="28"/>
          <w:szCs w:val="28"/>
        </w:rPr>
        <w:object w:dxaOrig="1020" w:dyaOrig="620">
          <v:shape id="_x0000_i1045" type="#_x0000_t75" style="width:51.05pt;height:31pt" o:ole="">
            <v:imagedata r:id="rId46" o:title=""/>
          </v:shape>
          <o:OLEObject Type="Embed" ProgID="Equation.3" ShapeID="_x0000_i1045" DrawAspect="Content" ObjectID="_1693029738" r:id="rId47"/>
        </w:object>
      </w:r>
      <w:r>
        <w:rPr>
          <w:sz w:val="28"/>
          <w:szCs w:val="28"/>
        </w:rPr>
        <w:t xml:space="preserve">     </w:t>
      </w:r>
      <w:r w:rsidRPr="009D4665">
        <w:rPr>
          <w:position w:val="-32"/>
          <w:sz w:val="28"/>
          <w:szCs w:val="28"/>
        </w:rPr>
        <w:object w:dxaOrig="1700" w:dyaOrig="700">
          <v:shape id="_x0000_i1046" type="#_x0000_t75" style="width:84.55pt;height:35.15pt" o:ole="">
            <v:imagedata r:id="rId48" o:title=""/>
          </v:shape>
          <o:OLEObject Type="Embed" ProgID="Equation.3" ShapeID="_x0000_i1046" DrawAspect="Content" ObjectID="_1693029739" r:id="rId49"/>
        </w:object>
      </w:r>
      <w:r>
        <w:rPr>
          <w:sz w:val="28"/>
          <w:szCs w:val="28"/>
        </w:rPr>
        <w:t>.                                          (2.39)</w:t>
      </w:r>
    </w:p>
    <w:p w:rsidR="00F8156C" w:rsidRDefault="00F8156C" w:rsidP="00F8156C">
      <w:pPr>
        <w:jc w:val="center"/>
        <w:rPr>
          <w:sz w:val="28"/>
          <w:szCs w:val="28"/>
        </w:rPr>
      </w:pPr>
    </w:p>
    <w:p w:rsidR="00F8156C" w:rsidRDefault="00F8156C" w:rsidP="00F8156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Очевидно, что координаты Е, N, U с пункта А и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и с пункта В и А различаются не только по знаку, но и по величине.</w:t>
      </w:r>
    </w:p>
    <w:p w:rsidR="00226CB9" w:rsidRDefault="00226CB9">
      <w:bookmarkStart w:id="0" w:name="_GoBack"/>
      <w:bookmarkEnd w:id="0"/>
    </w:p>
    <w:sectPr w:rsidR="00226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56C"/>
    <w:rsid w:val="00226CB9"/>
    <w:rsid w:val="00F8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302770-3B1B-4441-98A4-AF5DB167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5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15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wmf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1.bin"/><Relationship Id="rId50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3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2.jpeg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image" Target="media/image24.wmf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1239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2021-09-13T03:12:00Z</dcterms:created>
  <dcterms:modified xsi:type="dcterms:W3CDTF">2021-09-13T03:12:00Z</dcterms:modified>
</cp:coreProperties>
</file>